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rPr>
          <w:sz w:val="20"/>
        </w:rPr>
      </w:pPr>
    </w:p>
    <w:tbl>
      <w:tblPr>
        <w:tblStyle w:val="Style_2"/>
        <w:tblLayout w:type="fixed"/>
      </w:tblPr>
      <w:tblGrid>
        <w:gridCol w:w="480"/>
        <w:gridCol w:w="480"/>
        <w:gridCol w:w="480"/>
        <w:gridCol w:w="3661"/>
        <w:gridCol w:w="480"/>
        <w:gridCol w:w="1869"/>
        <w:gridCol w:w="486"/>
        <w:gridCol w:w="1701"/>
      </w:tblGrid>
      <w:tr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4000000">
            <w:pPr>
              <w:widowControl w:val="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5000000">
            <w:pPr>
              <w:widowControl w:val="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6000000">
            <w:pPr>
              <w:widowControl w:val="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3661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7000000">
            <w:pPr>
              <w:widowControl w:val="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536"/>
            <w:gridSpan w:val="4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8000000">
            <w:pPr>
              <w:widowControl w:val="0"/>
              <w:ind w:hanging="8079" w:left="807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№1 к</w:t>
            </w:r>
            <w:r>
              <w:rPr>
                <w:rFonts w:ascii="Times New Roman" w:hAnsi="Times New Roman"/>
              </w:rPr>
              <w:t xml:space="preserve"> письму</w:t>
            </w:r>
          </w:p>
        </w:tc>
      </w:tr>
      <w:tr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9000000">
            <w:pPr>
              <w:spacing w:after="6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spacing w:after="6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B000000">
            <w:pPr>
              <w:spacing w:after="6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3661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C000000">
            <w:pPr>
              <w:spacing w:after="6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D000000">
            <w:pPr>
              <w:spacing w:after="60"/>
              <w:ind w:hanging="8079" w:left="8079"/>
              <w:jc w:val="right"/>
              <w:rPr>
                <w:rFonts w:ascii="Times New Roman" w:hAnsi="Times New Roman"/>
              </w:rPr>
            </w:pPr>
          </w:p>
        </w:tc>
        <w:tc>
          <w:tcPr>
            <w:tcW w:type="dxa" w:w="1869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E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background1" w:val="FFFFFF"/>
              </w:rPr>
              <w:t>[</w:t>
            </w:r>
            <w:r>
              <w:rPr>
                <w:rFonts w:ascii="Times New Roman" w:hAnsi="Times New Roman"/>
                <w:color w:themeColor="background1" w:val="FFFFFF"/>
              </w:rPr>
              <w:t>R</w:t>
            </w:r>
            <w:r>
              <w:rPr>
                <w:rFonts w:ascii="Times New Roman" w:hAnsi="Times New Roman"/>
                <w:color w:themeColor="background1" w:val="FFFFFF"/>
                <w:sz w:val="16"/>
              </w:rPr>
              <w:t>EGDATESTAMP</w:t>
            </w:r>
            <w:r>
              <w:rPr>
                <w:rFonts w:ascii="Times New Roman" w:hAnsi="Times New Roman"/>
                <w:color w:themeColor="background1" w:val="FFFFFF"/>
                <w:sz w:val="16"/>
              </w:rPr>
              <w:t>]</w:t>
            </w:r>
          </w:p>
        </w:tc>
        <w:tc>
          <w:tcPr>
            <w:tcW w:type="dxa" w:w="486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F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10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background1" w:val="FFFFFF"/>
              </w:rPr>
              <w:t>[R</w:t>
            </w:r>
            <w:r>
              <w:rPr>
                <w:rFonts w:ascii="Times New Roman" w:hAnsi="Times New Roman"/>
                <w:color w:themeColor="background1" w:val="FFFFFF"/>
                <w:sz w:val="16"/>
              </w:rPr>
              <w:t>EGNUMSTAMP]</w:t>
            </w:r>
          </w:p>
        </w:tc>
      </w:tr>
    </w:tbl>
    <w:p w14:paraId="11000000">
      <w:pPr>
        <w:ind/>
        <w:jc w:val="center"/>
      </w:pPr>
    </w:p>
    <w:p w14:paraId="12000000">
      <w:pPr>
        <w:ind/>
        <w:jc w:val="center"/>
      </w:pPr>
    </w:p>
    <w:p w14:paraId="13000000">
      <w:pPr>
        <w:pStyle w:val="Style_3"/>
        <w:ind/>
        <w:jc w:val="center"/>
      </w:pPr>
      <w:r>
        <w:t>ПРЕСС-РЕЛИЗ</w:t>
      </w:r>
    </w:p>
    <w:p w14:paraId="14000000">
      <w:pPr>
        <w:pStyle w:val="Style_3"/>
        <w:ind/>
        <w:jc w:val="center"/>
      </w:pPr>
    </w:p>
    <w:p w14:paraId="15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Стартовал прием заявок на конкурс «Торговля Камчатки»</w:t>
      </w:r>
    </w:p>
    <w:p w14:paraId="16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Министерство экономического развития Камчатского края </w:t>
      </w:r>
      <w:r>
        <w:rPr>
          <w:rFonts w:ascii="Times New Roman" w:hAnsi="Times New Roman"/>
          <w:color w:val="000000"/>
          <w:sz w:val="28"/>
        </w:rPr>
        <w:t>совместно с</w:t>
      </w:r>
      <w:r>
        <w:rPr>
          <w:rFonts w:ascii="Times New Roman" w:hAnsi="Times New Roman"/>
          <w:color w:val="000000"/>
          <w:sz w:val="28"/>
        </w:rPr>
        <w:t xml:space="preserve"> Союзом «Торгово-промышленная палата Камчатского края» </w:t>
      </w:r>
      <w:r>
        <w:rPr>
          <w:rFonts w:ascii="Times New Roman" w:hAnsi="Times New Roman"/>
          <w:color w:val="000000"/>
          <w:sz w:val="28"/>
        </w:rPr>
        <w:t xml:space="preserve">проводит ежегодный конкурс «Торговля </w:t>
      </w:r>
      <w:r>
        <w:rPr>
          <w:rFonts w:ascii="Times New Roman" w:hAnsi="Times New Roman"/>
          <w:color w:val="000000"/>
          <w:sz w:val="28"/>
        </w:rPr>
        <w:t>Камчатки</w:t>
      </w:r>
      <w:r>
        <w:rPr>
          <w:rFonts w:ascii="Times New Roman" w:hAnsi="Times New Roman"/>
          <w:color w:val="000000"/>
          <w:sz w:val="28"/>
        </w:rPr>
        <w:t xml:space="preserve">», по итогам которого будут выбраны лучшие решения и идеи, реализуемые </w:t>
      </w:r>
      <w:r>
        <w:rPr>
          <w:rFonts w:ascii="Times New Roman" w:hAnsi="Times New Roman"/>
          <w:color w:val="000000"/>
          <w:sz w:val="28"/>
        </w:rPr>
        <w:t>разными торговыми форматами.</w:t>
      </w:r>
      <w:r>
        <w:rPr>
          <w:rFonts w:ascii="Times New Roman" w:hAnsi="Times New Roman"/>
          <w:sz w:val="28"/>
        </w:rPr>
        <w:t xml:space="preserve"> </w:t>
      </w:r>
    </w:p>
    <w:p w14:paraId="17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Главная идея Конкурса «Торговля Камчатки» – выявить достижения и лучшие практики разноформатной торговли, поддержать положительный опыт региональной розницы и стимулировать ее развитие.</w:t>
      </w:r>
    </w:p>
    <w:p w14:paraId="18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Конкурс будет проводится по следующим номинациям: </w:t>
      </w:r>
      <w:r>
        <w:rPr>
          <w:rFonts w:ascii="Times New Roman" w:hAnsi="Times New Roman"/>
          <w:color w:val="000000"/>
          <w:sz w:val="28"/>
        </w:rPr>
        <w:t>«Лучшая фирм</w:t>
      </w:r>
      <w:r>
        <w:rPr>
          <w:rFonts w:ascii="Times New Roman" w:hAnsi="Times New Roman"/>
          <w:color w:val="000000"/>
          <w:sz w:val="28"/>
        </w:rPr>
        <w:t xml:space="preserve">енная сеть камчатского товаропроизводителя», </w:t>
      </w:r>
      <w:r>
        <w:rPr>
          <w:rFonts w:ascii="Times New Roman" w:hAnsi="Times New Roman"/>
          <w:color w:val="000000"/>
          <w:sz w:val="28"/>
        </w:rPr>
        <w:t>«Лучший объект фаст-</w:t>
      </w:r>
      <w:r>
        <w:rPr>
          <w:rFonts w:ascii="Times New Roman" w:hAnsi="Times New Roman"/>
          <w:color w:val="000000"/>
          <w:sz w:val="28"/>
        </w:rPr>
        <w:t>фуда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«Лу</w:t>
      </w:r>
      <w:r>
        <w:rPr>
          <w:rFonts w:ascii="Times New Roman" w:hAnsi="Times New Roman"/>
          <w:color w:val="000000"/>
          <w:sz w:val="28"/>
        </w:rPr>
        <w:t xml:space="preserve">чший мобильный торговый объект», </w:t>
      </w:r>
      <w:r>
        <w:rPr>
          <w:rFonts w:ascii="Times New Roman" w:hAnsi="Times New Roman"/>
          <w:color w:val="000000"/>
          <w:sz w:val="28"/>
        </w:rPr>
        <w:t xml:space="preserve">«Лучший </w:t>
      </w:r>
      <w:r>
        <w:rPr>
          <w:rFonts w:ascii="Times New Roman" w:hAnsi="Times New Roman"/>
          <w:color w:val="000000"/>
          <w:sz w:val="28"/>
        </w:rPr>
        <w:t xml:space="preserve">нестационарный торговый объект», «Лучший супермаркет», </w:t>
      </w:r>
      <w:r>
        <w:rPr>
          <w:rFonts w:ascii="Times New Roman" w:hAnsi="Times New Roman"/>
          <w:color w:val="000000"/>
          <w:sz w:val="28"/>
        </w:rPr>
        <w:t xml:space="preserve">«Лучший </w:t>
      </w:r>
      <w:r>
        <w:rPr>
          <w:rFonts w:ascii="Times New Roman" w:hAnsi="Times New Roman"/>
          <w:color w:val="000000"/>
          <w:sz w:val="28"/>
        </w:rPr>
        <w:t xml:space="preserve">сельский магазин», «Экономический прорыв», «Молодой директор», </w:t>
      </w:r>
      <w:r>
        <w:rPr>
          <w:rFonts w:ascii="Times New Roman" w:hAnsi="Times New Roman"/>
          <w:color w:val="000000"/>
          <w:sz w:val="28"/>
        </w:rPr>
        <w:t xml:space="preserve">«Успешный старт-ап», </w:t>
      </w:r>
      <w:r>
        <w:rPr>
          <w:rFonts w:ascii="Times New Roman" w:hAnsi="Times New Roman"/>
          <w:color w:val="000000"/>
          <w:sz w:val="28"/>
        </w:rPr>
        <w:t>«Навстречу людям»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«Хранитель традиций»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«Лучши</w:t>
      </w:r>
      <w:r>
        <w:rPr>
          <w:rFonts w:ascii="Times New Roman" w:hAnsi="Times New Roman"/>
          <w:color w:val="000000"/>
          <w:sz w:val="28"/>
        </w:rPr>
        <w:t xml:space="preserve">й продавец сельского поселения», </w:t>
      </w:r>
      <w:r>
        <w:rPr>
          <w:rFonts w:ascii="Times New Roman" w:hAnsi="Times New Roman"/>
          <w:color w:val="000000"/>
          <w:sz w:val="28"/>
        </w:rPr>
        <w:t xml:space="preserve">«Превозмогая трудности», </w:t>
      </w:r>
      <w:r>
        <w:rPr>
          <w:rFonts w:ascii="Times New Roman" w:hAnsi="Times New Roman"/>
          <w:color w:val="000000"/>
          <w:sz w:val="28"/>
        </w:rPr>
        <w:t>«Лучший объ</w:t>
      </w:r>
      <w:r>
        <w:rPr>
          <w:rFonts w:ascii="Times New Roman" w:hAnsi="Times New Roman"/>
          <w:color w:val="000000"/>
          <w:sz w:val="28"/>
        </w:rPr>
        <w:t xml:space="preserve">ект торговли в торговом центре», </w:t>
      </w:r>
      <w:r>
        <w:rPr>
          <w:rFonts w:ascii="Times New Roman" w:hAnsi="Times New Roman"/>
          <w:color w:val="000000"/>
          <w:sz w:val="28"/>
        </w:rPr>
        <w:t>«Луч</w:t>
      </w:r>
      <w:r>
        <w:rPr>
          <w:rFonts w:ascii="Times New Roman" w:hAnsi="Times New Roman"/>
          <w:color w:val="000000"/>
          <w:sz w:val="28"/>
        </w:rPr>
        <w:t xml:space="preserve">ший специализированный магазин», </w:t>
      </w:r>
      <w:r>
        <w:rPr>
          <w:rFonts w:ascii="Times New Roman" w:hAnsi="Times New Roman"/>
          <w:color w:val="000000"/>
          <w:sz w:val="28"/>
        </w:rPr>
        <w:t>«Лу</w:t>
      </w:r>
      <w:r>
        <w:rPr>
          <w:rFonts w:ascii="Times New Roman" w:hAnsi="Times New Roman"/>
          <w:color w:val="000000"/>
          <w:sz w:val="28"/>
        </w:rPr>
        <w:t xml:space="preserve">чший магазин здорового питания», </w:t>
      </w:r>
      <w:r>
        <w:rPr>
          <w:rFonts w:ascii="Times New Roman" w:hAnsi="Times New Roman"/>
          <w:color w:val="000000"/>
          <w:sz w:val="28"/>
        </w:rPr>
        <w:t>«С заботой об особенных людях</w:t>
      </w:r>
      <w:r>
        <w:rPr>
          <w:rFonts w:ascii="Times New Roman" w:hAnsi="Times New Roman"/>
          <w:color w:val="000000"/>
          <w:sz w:val="28"/>
        </w:rPr>
        <w:t>», «Продвижение Камчатского края».</w:t>
      </w:r>
    </w:p>
    <w:p w14:paraId="19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color w:val="000000"/>
          <w:sz w:val="28"/>
        </w:rPr>
        <w:t>Кроме того, в рамках проведения в России Года семьи в 2024 году Министерством добавлена номинация «Лучший семейный бизнес в сфере торговли», а также запущено народное голосование для выявления победителя в номинации «Лучший магазин для всей семьи». Победитель будет определен п</w:t>
      </w:r>
      <w:r>
        <w:rPr>
          <w:rFonts w:ascii="Times New Roman" w:hAnsi="Times New Roman"/>
          <w:color w:val="000000"/>
          <w:sz w:val="28"/>
        </w:rPr>
        <w:t xml:space="preserve">о итогам проведенного народного голосования </w:t>
      </w:r>
      <w:r>
        <w:rPr>
          <w:rFonts w:ascii="Times New Roman" w:hAnsi="Times New Roman"/>
          <w:color w:val="000000"/>
          <w:sz w:val="28"/>
        </w:rPr>
        <w:t>в разрезе муниципальных образований в Камчатском крае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набравший наибольшее число голосов.</w:t>
      </w:r>
    </w:p>
    <w:p w14:paraId="1A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Принять участие в конкурсе могут: администрации муниципальных образований в Камчатском крае и хозяйствующие субъекты, осуществляющие торговую деятельность на территории региона.</w:t>
      </w:r>
    </w:p>
    <w:p w14:paraId="1B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Для участия в Конкурсе участникам рекомендуется заполнить </w:t>
      </w:r>
      <w:r>
        <w:rPr>
          <w:rStyle w:val="Style_4_ch"/>
          <w:rFonts w:ascii="Times New Roman" w:hAnsi="Times New Roman"/>
          <w:sz w:val="28"/>
        </w:rPr>
        <w:fldChar w:fldCharType="begin"/>
      </w:r>
      <w:r>
        <w:rPr>
          <w:rStyle w:val="Style_4_ch"/>
          <w:rFonts w:ascii="Times New Roman" w:hAnsi="Times New Roman"/>
          <w:sz w:val="28"/>
        </w:rPr>
        <w:instrText>HYPERLINK "https://www.kamgov.ru/files/661e036a6850e6.58022054.docx"</w:instrText>
      </w:r>
      <w:r>
        <w:rPr>
          <w:rStyle w:val="Style_4_ch"/>
          <w:rFonts w:ascii="Times New Roman" w:hAnsi="Times New Roman"/>
          <w:sz w:val="28"/>
        </w:rPr>
        <w:fldChar w:fldCharType="separate"/>
      </w:r>
      <w:r>
        <w:rPr>
          <w:rStyle w:val="Style_4_ch"/>
          <w:rFonts w:ascii="Times New Roman" w:hAnsi="Times New Roman"/>
          <w:sz w:val="28"/>
        </w:rPr>
        <w:t>заявку</w:t>
      </w:r>
      <w:r>
        <w:rPr>
          <w:rStyle w:val="Style_4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на странице Минэкономразвития Камчатского края официального сайта исполнительных органов Камчатского края </w:t>
      </w:r>
      <w:r>
        <w:rPr>
          <w:rFonts w:ascii="Times New Roman" w:hAnsi="Times New Roman"/>
          <w:sz w:val="28"/>
        </w:rPr>
        <w:t>и направить в отдел торговли, лицензирования и контроля алкогольно</w:t>
      </w:r>
      <w:r>
        <w:rPr>
          <w:rFonts w:ascii="Times New Roman" w:hAnsi="Times New Roman"/>
          <w:sz w:val="28"/>
        </w:rPr>
        <w:t xml:space="preserve">й продукции Министерства по адресу: Камчатский край, </w:t>
      </w:r>
      <w:r>
        <w:rPr>
          <w:rFonts w:ascii="Times New Roman" w:hAnsi="Times New Roman"/>
          <w:sz w:val="28"/>
        </w:rPr>
        <w:t>г. Петропавловск-Камчатский, ул. Ленинская, д. 18 (</w:t>
      </w:r>
      <w:r>
        <w:rPr>
          <w:rFonts w:ascii="Times New Roman" w:hAnsi="Times New Roman"/>
          <w:sz w:val="28"/>
        </w:rPr>
        <w:t>каб</w:t>
      </w:r>
      <w:r>
        <w:rPr>
          <w:rFonts w:ascii="Times New Roman" w:hAnsi="Times New Roman"/>
          <w:sz w:val="28"/>
        </w:rPr>
        <w:t xml:space="preserve">. 413) или на адрес электронной почты: </w:t>
      </w:r>
      <w:r>
        <w:rPr>
          <w:rFonts w:ascii="Times New Roman" w:hAnsi="Times New Roman"/>
          <w:color w:val="000000"/>
          <w:sz w:val="28"/>
          <w:u w:val="single"/>
        </w:rPr>
        <w:fldChar w:fldCharType="begin"/>
      </w:r>
      <w:r>
        <w:rPr>
          <w:rFonts w:ascii="Times New Roman" w:hAnsi="Times New Roman"/>
          <w:color w:val="000000"/>
          <w:sz w:val="28"/>
          <w:u w:val="single"/>
        </w:rPr>
        <w:instrText>HYPERLINK "mailto:econ@kamgov.ru"</w:instrText>
      </w:r>
      <w:r>
        <w:rPr>
          <w:rFonts w:ascii="Times New Roman" w:hAnsi="Times New Roman"/>
          <w:color w:val="000000"/>
          <w:sz w:val="28"/>
          <w:u w:val="single"/>
        </w:rPr>
        <w:fldChar w:fldCharType="separate"/>
      </w:r>
      <w:r>
        <w:rPr>
          <w:rFonts w:ascii="Times New Roman" w:hAnsi="Times New Roman"/>
          <w:color w:val="000000"/>
          <w:sz w:val="28"/>
          <w:u w:val="single"/>
        </w:rPr>
        <w:t>econ@kamgov.ru</w:t>
      </w:r>
      <w:r>
        <w:rPr>
          <w:rFonts w:ascii="Times New Roman" w:hAnsi="Times New Roman"/>
          <w:color w:val="000000"/>
          <w:sz w:val="28"/>
          <w:u w:val="single"/>
        </w:rPr>
        <w:fldChar w:fldCharType="end"/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.</w:t>
      </w:r>
    </w:p>
    <w:p w14:paraId="1C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Народное голосование </w:t>
      </w:r>
      <w:r>
        <w:rPr>
          <w:rStyle w:val="Style_4_ch"/>
          <w:rFonts w:ascii="Times New Roman" w:hAnsi="Times New Roman"/>
          <w:sz w:val="28"/>
        </w:rPr>
        <w:fldChar w:fldCharType="begin"/>
      </w:r>
      <w:r>
        <w:rPr>
          <w:rStyle w:val="Style_4_ch"/>
          <w:rFonts w:ascii="Times New Roman" w:hAnsi="Times New Roman"/>
          <w:sz w:val="28"/>
        </w:rPr>
        <w:instrText>HYPERLINK "https://pos.gosuslugi.ru/lkp/polls/427559/?utm_source=widget&amp;utm_medium=regional&amp;utm_campaign=pos.gosuslugi.ru&amp;utm_content=30&amp;utm_term=2653_1084101000081_4101121231_410101001"</w:instrText>
      </w:r>
      <w:r>
        <w:rPr>
          <w:rStyle w:val="Style_4_ch"/>
          <w:rFonts w:ascii="Times New Roman" w:hAnsi="Times New Roman"/>
          <w:sz w:val="28"/>
        </w:rPr>
        <w:fldChar w:fldCharType="separate"/>
      </w:r>
      <w:r>
        <w:rPr>
          <w:rStyle w:val="Style_4_ch"/>
          <w:rFonts w:ascii="Times New Roman" w:hAnsi="Times New Roman"/>
          <w:sz w:val="28"/>
        </w:rPr>
        <w:t>доступно по ссылке</w:t>
      </w:r>
      <w:r>
        <w:rPr>
          <w:rStyle w:val="Style_4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и на главной странице официального сайта Министерства экономического развития Камчатского края: </w:t>
      </w:r>
      <w:r>
        <w:rPr>
          <w:rStyle w:val="Style_4_ch"/>
          <w:rFonts w:ascii="Times New Roman" w:hAnsi="Times New Roman"/>
          <w:sz w:val="28"/>
        </w:rPr>
        <w:fldChar w:fldCharType="begin"/>
      </w:r>
      <w:r>
        <w:rPr>
          <w:rStyle w:val="Style_4_ch"/>
          <w:rFonts w:ascii="Times New Roman" w:hAnsi="Times New Roman"/>
          <w:sz w:val="28"/>
        </w:rPr>
        <w:instrText>HYPERLINK "https://www.kamgov.ru/minecon"</w:instrText>
      </w:r>
      <w:r>
        <w:rPr>
          <w:rStyle w:val="Style_4_ch"/>
          <w:rFonts w:ascii="Times New Roman" w:hAnsi="Times New Roman"/>
          <w:sz w:val="28"/>
        </w:rPr>
        <w:fldChar w:fldCharType="separate"/>
      </w:r>
      <w:r>
        <w:rPr>
          <w:rStyle w:val="Style_4_ch"/>
          <w:rFonts w:ascii="Times New Roman" w:hAnsi="Times New Roman"/>
          <w:sz w:val="28"/>
        </w:rPr>
        <w:t>https://www.kamgov.ru/minecon</w:t>
      </w:r>
      <w:r>
        <w:rPr>
          <w:rStyle w:val="Style_4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(баннер справа «Мой выбор, мое будущее» – участвовать – опросы – «Народное голосование в рамках конкурса «Торговля Камчатки»). </w:t>
      </w:r>
      <w:r>
        <w:rPr>
          <w:rFonts w:ascii="Times New Roman" w:hAnsi="Times New Roman"/>
          <w:color w:val="000000"/>
          <w:sz w:val="28"/>
        </w:rPr>
        <w:t>Ознакомиться с информацией о</w:t>
      </w:r>
      <w:r>
        <w:rPr>
          <w:rFonts w:ascii="Times New Roman" w:hAnsi="Times New Roman"/>
          <w:color w:val="000000"/>
          <w:sz w:val="28"/>
        </w:rPr>
        <w:t xml:space="preserve"> конкурсе м</w:t>
      </w:r>
      <w:r>
        <w:rPr>
          <w:rFonts w:ascii="Times New Roman" w:hAnsi="Times New Roman"/>
          <w:color w:val="000000"/>
          <w:sz w:val="28"/>
        </w:rPr>
        <w:t>ожно</w:t>
      </w:r>
      <w:r>
        <w:rPr>
          <w:rFonts w:ascii="Times New Roman" w:hAnsi="Times New Roman"/>
          <w:color w:val="000000"/>
          <w:sz w:val="28"/>
        </w:rPr>
        <w:t xml:space="preserve"> по </w:t>
      </w:r>
      <w:r>
        <w:rPr>
          <w:rStyle w:val="Style_4_ch"/>
        </w:rPr>
        <w:fldChar w:fldCharType="begin"/>
      </w:r>
      <w:r>
        <w:rPr>
          <w:rStyle w:val="Style_4_ch"/>
        </w:rPr>
        <w:instrText>HYPERLINK "https://www.kamgov.ru/minecon/konkurs-lucsij-po-professii/torgovla-kamcatki"</w:instrText>
      </w:r>
      <w:r>
        <w:rPr>
          <w:rStyle w:val="Style_4_ch"/>
        </w:rPr>
        <w:fldChar w:fldCharType="separate"/>
      </w:r>
      <w:r>
        <w:rPr>
          <w:rStyle w:val="Style_4_ch"/>
        </w:rPr>
        <w:t>ссылке</w:t>
      </w:r>
      <w:r>
        <w:rPr>
          <w:rStyle w:val="Style_4_ch"/>
        </w:rPr>
        <w:fldChar w:fldCharType="end"/>
      </w:r>
      <w:r>
        <w:rPr>
          <w:rFonts w:ascii="Times New Roman" w:hAnsi="Times New Roman"/>
          <w:color w:val="000000"/>
          <w:sz w:val="28"/>
          <w:u w:val="none"/>
        </w:rPr>
        <w:t>.</w:t>
      </w:r>
    </w:p>
    <w:p w14:paraId="1D000000">
      <w:pPr>
        <w:pStyle w:val="Style_3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Телефоны для справок: +7 (4152) 42-56-80 (доб. 706).</w:t>
      </w:r>
    </w:p>
    <w:sectPr>
      <w:headerReference r:id="rId1" w:type="default"/>
      <w:pgSz w:h="16848" w:orient="portrait" w:w="11908"/>
      <w:pgMar w:bottom="1134" w:footer="340" w:gutter="0" w:header="340" w:left="1134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fldChar w:fldCharType="end"/>
    </w:r>
  </w:p>
  <w:p w14:paraId="01000000">
    <w:pPr>
      <w:pStyle w:val="Style_1"/>
      <w:ind/>
      <w:jc w:val="center"/>
      <w:rPr>
        <w:sz w:val="24"/>
      </w:rPr>
    </w:pP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5" w:type="paragraph">
    <w:name w:val="toc 2"/>
    <w:next w:val="Style_3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Body Text"/>
    <w:basedOn w:val="Style_3"/>
    <w:link w:val="Style_7_ch"/>
    <w:pPr>
      <w:widowControl w:val="0"/>
      <w:ind/>
      <w:jc w:val="both"/>
    </w:pPr>
  </w:style>
  <w:style w:styleId="Style_7_ch" w:type="character">
    <w:name w:val="Body Text"/>
    <w:basedOn w:val="Style_3_ch"/>
    <w:link w:val="Style_7"/>
  </w:style>
  <w:style w:styleId="Style_8" w:type="paragraph">
    <w:name w:val="toc 6"/>
    <w:next w:val="Style_3"/>
    <w:link w:val="Style_8_ch"/>
    <w:uiPriority w:val="39"/>
    <w:pPr>
      <w:ind w:firstLine="0" w:left="1000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heading 3"/>
    <w:basedOn w:val="Style_3"/>
    <w:next w:val="Style_3"/>
    <w:link w:val="Style_11_ch"/>
    <w:uiPriority w:val="9"/>
    <w:qFormat/>
    <w:pPr>
      <w:keepNext w:val="1"/>
      <w:widowControl w:val="0"/>
      <w:ind/>
      <w:jc w:val="center"/>
      <w:outlineLvl w:val="2"/>
    </w:pPr>
  </w:style>
  <w:style w:styleId="Style_11_ch" w:type="character">
    <w:name w:val="heading 3"/>
    <w:basedOn w:val="Style_3_ch"/>
    <w:link w:val="Style_11"/>
  </w:style>
  <w:style w:styleId="Style_12" w:type="paragraph">
    <w:name w:val="Знак Знак Знак Знак"/>
    <w:basedOn w:val="Style_3"/>
    <w:link w:val="Style_12_ch"/>
    <w:pPr>
      <w:spacing w:after="160" w:line="240" w:lineRule="exact"/>
      <w:ind/>
    </w:pPr>
    <w:rPr>
      <w:rFonts w:ascii="Verdana" w:hAnsi="Verdana"/>
      <w:sz w:val="20"/>
    </w:rPr>
  </w:style>
  <w:style w:styleId="Style_12_ch" w:type="character">
    <w:name w:val="Знак Знак Знак Знак"/>
    <w:basedOn w:val="Style_3_ch"/>
    <w:link w:val="Style_12"/>
    <w:rPr>
      <w:rFonts w:ascii="Verdana" w:hAnsi="Verdana"/>
      <w:sz w:val="20"/>
    </w:rPr>
  </w:style>
  <w:style w:styleId="Style_13" w:type="paragraph">
    <w:name w:val="Обычный1"/>
    <w:link w:val="Style_13_ch"/>
    <w:rPr>
      <w:sz w:val="28"/>
    </w:rPr>
  </w:style>
  <w:style w:styleId="Style_13_ch" w:type="character">
    <w:name w:val="Обычный1"/>
    <w:link w:val="Style_13"/>
    <w:rPr>
      <w:sz w:val="28"/>
    </w:rPr>
  </w:style>
  <w:style w:styleId="Style_14" w:type="paragraph">
    <w:name w:val="Обычный1"/>
    <w:link w:val="Style_14_ch"/>
    <w:rPr>
      <w:sz w:val="28"/>
    </w:rPr>
  </w:style>
  <w:style w:styleId="Style_14_ch" w:type="character">
    <w:name w:val="Обычный1"/>
    <w:link w:val="Style_14"/>
    <w:rPr>
      <w:sz w:val="28"/>
    </w:rPr>
  </w:style>
  <w:style w:styleId="Style_15" w:type="paragraph">
    <w:name w:val="toc 3"/>
    <w:next w:val="Style_3"/>
    <w:link w:val="Style_15_ch"/>
    <w:uiPriority w:val="39"/>
    <w:pPr>
      <w:ind w:firstLine="0"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Знак"/>
    <w:basedOn w:val="Style_3"/>
    <w:link w:val="Style_17_ch"/>
    <w:pPr>
      <w:spacing w:after="160" w:line="240" w:lineRule="exact"/>
      <w:ind/>
    </w:pPr>
    <w:rPr>
      <w:rFonts w:ascii="Verdana" w:hAnsi="Verdana"/>
      <w:sz w:val="20"/>
    </w:rPr>
  </w:style>
  <w:style w:styleId="Style_17_ch" w:type="character">
    <w:name w:val="Знак"/>
    <w:basedOn w:val="Style_3_ch"/>
    <w:link w:val="Style_17"/>
    <w:rPr>
      <w:rFonts w:ascii="Verdana" w:hAnsi="Verdana"/>
      <w:sz w:val="20"/>
    </w:rPr>
  </w:style>
  <w:style w:styleId="Style_18" w:type="paragraph">
    <w:name w:val="heading 5"/>
    <w:next w:val="Style_3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heading 1"/>
    <w:basedOn w:val="Style_3"/>
    <w:next w:val="Style_3"/>
    <w:link w:val="Style_19_ch"/>
    <w:uiPriority w:val="9"/>
    <w:qFormat/>
    <w:pPr>
      <w:keepNext w:val="1"/>
      <w:spacing w:after="60" w:before="240"/>
      <w:ind/>
      <w:outlineLvl w:val="0"/>
    </w:pPr>
    <w:rPr>
      <w:rFonts w:ascii="Calibri Light" w:hAnsi="Calibri Light"/>
      <w:b w:val="1"/>
      <w:sz w:val="32"/>
    </w:rPr>
  </w:style>
  <w:style w:styleId="Style_19_ch" w:type="character">
    <w:name w:val="heading 1"/>
    <w:basedOn w:val="Style_3_ch"/>
    <w:link w:val="Style_19"/>
    <w:rPr>
      <w:rFonts w:ascii="Calibri Light" w:hAnsi="Calibri Light"/>
      <w:b w:val="1"/>
      <w:sz w:val="32"/>
    </w:rPr>
  </w:style>
  <w:style w:styleId="Style_20" w:type="paragraph">
    <w:name w:val="Основной шрифт абзаца1"/>
    <w:link w:val="Style_20_ch"/>
  </w:style>
  <w:style w:styleId="Style_20_ch" w:type="character">
    <w:name w:val="Основной шрифт абзаца1"/>
    <w:link w:val="Style_20"/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21" w:type="paragraph">
    <w:name w:val="Foot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3"/>
    <w:link w:val="Style_22_ch"/>
    <w:uiPriority w:val="39"/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ind/>
      <w:jc w:val="both"/>
    </w:pPr>
    <w:rPr>
      <w:rFonts w:ascii="XO Thames" w:hAnsi="XO Thames"/>
    </w:rPr>
  </w:style>
  <w:style w:styleId="Style_23_ch" w:type="character">
    <w:name w:val="Header and Footer"/>
    <w:link w:val="Style_23"/>
    <w:rPr>
      <w:rFonts w:ascii="XO Thames" w:hAnsi="XO Thames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toc 9"/>
    <w:next w:val="Style_3"/>
    <w:link w:val="Style_25_ch"/>
    <w:uiPriority w:val="39"/>
    <w:pPr>
      <w:ind w:firstLine="0" w:left="1600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Balloon Text"/>
    <w:basedOn w:val="Style_3"/>
    <w:link w:val="Style_26_ch"/>
    <w:rPr>
      <w:rFonts w:ascii="Tahoma" w:hAnsi="Tahoma"/>
      <w:sz w:val="16"/>
    </w:rPr>
  </w:style>
  <w:style w:styleId="Style_26_ch" w:type="character">
    <w:name w:val="Balloon Text"/>
    <w:basedOn w:val="Style_3_ch"/>
    <w:link w:val="Style_26"/>
    <w:rPr>
      <w:rFonts w:ascii="Tahoma" w:hAnsi="Tahoma"/>
      <w:sz w:val="16"/>
    </w:rPr>
  </w:style>
  <w:style w:styleId="Style_27" w:type="paragraph">
    <w:name w:val="Основной шрифт абзаца2"/>
    <w:link w:val="Style_27_ch"/>
  </w:style>
  <w:style w:styleId="Style_27_ch" w:type="character">
    <w:name w:val="Основной шрифт абзаца2"/>
    <w:link w:val="Style_27"/>
  </w:style>
  <w:style w:styleId="Style_28" w:type="paragraph">
    <w:name w:val="Гиперссылка1"/>
    <w:link w:val="Style_28_ch"/>
    <w:rPr>
      <w:color w:val="0000FF"/>
      <w:u w:val="single"/>
    </w:rPr>
  </w:style>
  <w:style w:styleId="Style_28_ch" w:type="character">
    <w:name w:val="Гиперссылка1"/>
    <w:link w:val="Style_28"/>
    <w:rPr>
      <w:color w:val="0000FF"/>
      <w:u w:val="single"/>
    </w:rPr>
  </w:style>
  <w:style w:styleId="Style_29" w:type="paragraph">
    <w:name w:val="footer"/>
    <w:basedOn w:val="Style_3"/>
    <w:link w:val="Style_29_ch"/>
    <w:pPr>
      <w:tabs>
        <w:tab w:leader="none" w:pos="4677" w:val="center"/>
        <w:tab w:leader="none" w:pos="9355" w:val="right"/>
      </w:tabs>
      <w:ind/>
    </w:pPr>
  </w:style>
  <w:style w:styleId="Style_29_ch" w:type="character">
    <w:name w:val="footer"/>
    <w:basedOn w:val="Style_3_ch"/>
    <w:link w:val="Style_29"/>
  </w:style>
  <w:style w:styleId="Style_30" w:type="paragraph">
    <w:name w:val="toc 8"/>
    <w:next w:val="Style_3"/>
    <w:link w:val="Style_30_ch"/>
    <w:uiPriority w:val="39"/>
    <w:pPr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Endnote"/>
    <w:link w:val="Style_31_ch"/>
    <w:pPr>
      <w:ind w:firstLine="851" w:left="0"/>
      <w:jc w:val="both"/>
    </w:pPr>
    <w:rPr>
      <w:rFonts w:ascii="XO Thames" w:hAnsi="XO Thames"/>
      <w:sz w:val="22"/>
    </w:rPr>
  </w:style>
  <w:style w:styleId="Style_31_ch" w:type="character">
    <w:name w:val="Endnote"/>
    <w:link w:val="Style_31"/>
    <w:rPr>
      <w:rFonts w:ascii="XO Thames" w:hAnsi="XO Thames"/>
      <w:sz w:val="22"/>
    </w:rPr>
  </w:style>
  <w:style w:styleId="Style_32" w:type="paragraph">
    <w:name w:val="ConsPlusNormal"/>
    <w:link w:val="Style_32_ch"/>
    <w:pPr>
      <w:widowControl w:val="0"/>
      <w:ind/>
    </w:pPr>
    <w:rPr>
      <w:rFonts w:ascii="Calibri" w:hAnsi="Calibri"/>
      <w:sz w:val="22"/>
    </w:rPr>
  </w:style>
  <w:style w:styleId="Style_32_ch" w:type="character">
    <w:name w:val="ConsPlusNormal"/>
    <w:link w:val="Style_32"/>
    <w:rPr>
      <w:rFonts w:ascii="Calibri" w:hAnsi="Calibri"/>
      <w:sz w:val="22"/>
    </w:rPr>
  </w:style>
  <w:style w:styleId="Style_33" w:type="paragraph">
    <w:name w:val="Обычный1"/>
    <w:link w:val="Style_33_ch"/>
    <w:rPr>
      <w:sz w:val="28"/>
    </w:rPr>
  </w:style>
  <w:style w:styleId="Style_33_ch" w:type="character">
    <w:name w:val="Обычный1"/>
    <w:link w:val="Style_33"/>
    <w:rPr>
      <w:sz w:val="28"/>
    </w:rPr>
  </w:style>
  <w:style w:styleId="Style_34" w:type="paragraph">
    <w:name w:val="toc 5"/>
    <w:next w:val="Style_3"/>
    <w:link w:val="Style_34_ch"/>
    <w:uiPriority w:val="39"/>
    <w:pPr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ubtitle"/>
    <w:next w:val="Style_3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Гиперссылка2"/>
    <w:link w:val="Style_36_ch"/>
    <w:rPr>
      <w:color w:val="0000FF"/>
      <w:u w:val="single"/>
    </w:rPr>
  </w:style>
  <w:style w:styleId="Style_36_ch" w:type="character">
    <w:name w:val="Гиперссылка2"/>
    <w:link w:val="Style_36"/>
    <w:rPr>
      <w:color w:val="0000FF"/>
      <w:u w:val="single"/>
    </w:rPr>
  </w:style>
  <w:style w:styleId="Style_37" w:type="paragraph">
    <w:name w:val="Title"/>
    <w:next w:val="Style_3"/>
    <w:link w:val="Style_3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next w:val="Style_3"/>
    <w:link w:val="Style_3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8_ch" w:type="character">
    <w:name w:val="heading 4"/>
    <w:link w:val="Style_38"/>
    <w:rPr>
      <w:rFonts w:ascii="XO Thames" w:hAnsi="XO Thames"/>
      <w:b w:val="1"/>
      <w:sz w:val="24"/>
    </w:rPr>
  </w:style>
  <w:style w:styleId="Style_39" w:type="paragraph">
    <w:name w:val="heading 2"/>
    <w:basedOn w:val="Style_3"/>
    <w:next w:val="Style_3"/>
    <w:link w:val="Style_39_ch"/>
    <w:uiPriority w:val="9"/>
    <w:qFormat/>
    <w:pPr>
      <w:keepNext w:val="1"/>
      <w:spacing w:after="60" w:before="240"/>
      <w:ind/>
      <w:outlineLvl w:val="1"/>
    </w:pPr>
    <w:rPr>
      <w:rFonts w:ascii="Calibri Light" w:hAnsi="Calibri Light"/>
      <w:b w:val="1"/>
      <w:i w:val="1"/>
    </w:rPr>
  </w:style>
  <w:style w:styleId="Style_39_ch" w:type="character">
    <w:name w:val="heading 2"/>
    <w:basedOn w:val="Style_3_ch"/>
    <w:link w:val="Style_39"/>
    <w:rPr>
      <w:rFonts w:ascii="Calibri Light" w:hAnsi="Calibri Light"/>
      <w:b w:val="1"/>
      <w:i w:val="1"/>
    </w:rPr>
  </w:style>
  <w:style w:styleId="Style_2" w:type="table">
    <w:name w:val="Table Grid"/>
    <w:basedOn w:val="Style_40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2024-04-22T02:39:05Z</dcterms:modified>
</cp:coreProperties>
</file>